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5E82C" w14:textId="77777777" w:rsidR="00ED4AFD" w:rsidRPr="00E706D8" w:rsidRDefault="00ED4AFD" w:rsidP="00ED4AFD">
      <w:pPr>
        <w:pStyle w:val="Default"/>
        <w:rPr>
          <w:rFonts w:cstheme="minorHAnsi"/>
        </w:rPr>
      </w:pPr>
      <w:r w:rsidRPr="00E706D8">
        <w:rPr>
          <w:rFonts w:cstheme="minorHAnsi"/>
        </w:rPr>
        <w:t>May 15, 2023</w:t>
      </w:r>
    </w:p>
    <w:p w14:paraId="5878D5FF" w14:textId="77777777" w:rsidR="00ED4AFD" w:rsidRPr="00E706D8" w:rsidRDefault="00ED4AFD" w:rsidP="00ED4AFD">
      <w:pPr>
        <w:pStyle w:val="Default"/>
        <w:rPr>
          <w:rFonts w:cstheme="minorHAnsi"/>
        </w:rPr>
      </w:pPr>
    </w:p>
    <w:p w14:paraId="2EB674C6" w14:textId="77777777" w:rsidR="00ED4AFD" w:rsidRPr="00E706D8" w:rsidRDefault="00ED4AFD" w:rsidP="00ED4AFD">
      <w:pPr>
        <w:pStyle w:val="Default"/>
        <w:rPr>
          <w:rFonts w:cstheme="minorHAnsi"/>
        </w:rPr>
      </w:pPr>
      <w:r w:rsidRPr="00E706D8">
        <w:rPr>
          <w:rFonts w:cstheme="minorHAnsi"/>
        </w:rPr>
        <w:t>Anthony Pepe</w:t>
      </w:r>
    </w:p>
    <w:p w14:paraId="28AAA14E" w14:textId="77777777" w:rsidR="00ED4AFD" w:rsidRPr="00E706D8" w:rsidRDefault="00ED4AFD" w:rsidP="00ED4AFD">
      <w:pPr>
        <w:pStyle w:val="Default"/>
        <w:rPr>
          <w:rFonts w:cstheme="minorHAnsi"/>
        </w:rPr>
      </w:pPr>
      <w:r w:rsidRPr="00E706D8">
        <w:rPr>
          <w:rFonts w:cstheme="minorHAnsi"/>
        </w:rPr>
        <w:t xml:space="preserve">Quality Assurance Unit </w:t>
      </w:r>
    </w:p>
    <w:p w14:paraId="34FAEADA" w14:textId="77777777" w:rsidR="00ED4AFD" w:rsidRPr="00E706D8" w:rsidRDefault="00ED4AFD" w:rsidP="00ED4AFD">
      <w:pPr>
        <w:pStyle w:val="Default"/>
        <w:rPr>
          <w:rFonts w:eastAsia="Times New Roman" w:cstheme="minorHAnsi"/>
        </w:rPr>
      </w:pPr>
      <w:r w:rsidRPr="00E706D8">
        <w:rPr>
          <w:rFonts w:eastAsia="Times New Roman" w:cstheme="minorHAnsi"/>
        </w:rPr>
        <w:t>U.S. Environmental Protection Agency</w:t>
      </w:r>
    </w:p>
    <w:p w14:paraId="19108BE8" w14:textId="77777777" w:rsidR="00ED4AFD" w:rsidRPr="00E706D8" w:rsidRDefault="00ED4AFD" w:rsidP="00ED4AFD">
      <w:pPr>
        <w:pStyle w:val="Default"/>
        <w:rPr>
          <w:rFonts w:cstheme="minorHAnsi"/>
        </w:rPr>
      </w:pPr>
      <w:r w:rsidRPr="00E706D8">
        <w:rPr>
          <w:rFonts w:cstheme="minorHAnsi"/>
        </w:rPr>
        <w:t xml:space="preserve">11 Technology Drive, North Chelmsford, MA 01863-2431 </w:t>
      </w:r>
    </w:p>
    <w:p w14:paraId="2AD40D89" w14:textId="77777777" w:rsidR="00ED4AFD" w:rsidRPr="00E706D8" w:rsidRDefault="00ED4AFD" w:rsidP="00ED4AFD">
      <w:pPr>
        <w:pStyle w:val="Default"/>
      </w:pPr>
    </w:p>
    <w:p w14:paraId="24181AD6" w14:textId="7B662EC5" w:rsidR="00ED4AFD" w:rsidRPr="00E706D8" w:rsidRDefault="00ED4AFD" w:rsidP="00ED4AFD">
      <w:pPr>
        <w:pStyle w:val="Default"/>
      </w:pPr>
      <w:r w:rsidRPr="00E706D8">
        <w:t xml:space="preserve">RE: </w:t>
      </w:r>
      <w:r w:rsidR="00E706D8">
        <w:rPr>
          <w:b/>
          <w:bCs/>
        </w:rPr>
        <w:t>2023</w:t>
      </w:r>
      <w:r w:rsidRPr="00E706D8">
        <w:rPr>
          <w:b/>
          <w:bCs/>
        </w:rPr>
        <w:t xml:space="preserve"> Addendum to the MassDEP </w:t>
      </w:r>
      <w:r w:rsidRPr="00E706D8">
        <w:rPr>
          <w:b/>
          <w:bCs/>
          <w:i/>
          <w:iCs/>
        </w:rPr>
        <w:t xml:space="preserve">Quality Assurance Program Plan for Surface Water Quality Monitoring and Assessment, 2020-2024 </w:t>
      </w:r>
    </w:p>
    <w:p w14:paraId="4BCA43F5" w14:textId="77777777" w:rsidR="00ED4AFD" w:rsidRPr="00E706D8" w:rsidRDefault="00ED4AFD" w:rsidP="00ED4AFD">
      <w:pPr>
        <w:pStyle w:val="Default"/>
      </w:pPr>
    </w:p>
    <w:p w14:paraId="299DDB08" w14:textId="77777777" w:rsidR="00ED4AFD" w:rsidRPr="00E706D8" w:rsidRDefault="00ED4AFD" w:rsidP="00ED4AFD">
      <w:pPr>
        <w:pStyle w:val="Default"/>
      </w:pPr>
      <w:r w:rsidRPr="00E706D8">
        <w:t xml:space="preserve">Dear Mr. Pepe, </w:t>
      </w:r>
    </w:p>
    <w:p w14:paraId="27E89142" w14:textId="77777777" w:rsidR="00ED4AFD" w:rsidRPr="00E706D8" w:rsidRDefault="00ED4AFD" w:rsidP="00ED4AFD">
      <w:pPr>
        <w:pStyle w:val="Default"/>
      </w:pPr>
    </w:p>
    <w:p w14:paraId="2019522B" w14:textId="39131849" w:rsidR="00ED4AFD" w:rsidRPr="00E706D8" w:rsidRDefault="00ED4AFD" w:rsidP="00ED4AFD">
      <w:pPr>
        <w:pStyle w:val="Default"/>
        <w:rPr>
          <w:color w:val="auto"/>
        </w:rPr>
      </w:pPr>
      <w:r w:rsidRPr="00E706D8">
        <w:t xml:space="preserve">The following information is intended to append the MassDEP </w:t>
      </w:r>
      <w:r w:rsidRPr="00E706D8">
        <w:rPr>
          <w:i/>
          <w:iCs/>
        </w:rPr>
        <w:t xml:space="preserve">Quality Assurance Program Plan (QAPP) for Surface Water Quality Monitoring and Assessment, 2020 – 2024  </w:t>
      </w:r>
      <w:r w:rsidRPr="00E706D8">
        <w:t xml:space="preserve">for data collection in </w:t>
      </w:r>
      <w:r w:rsidR="00E706D8">
        <w:t>2023</w:t>
      </w:r>
      <w:r w:rsidRPr="00E706D8">
        <w:t xml:space="preserve"> by the MassDEP’s Watershed Planning Program (WPP) in the Division of Watershed Management</w:t>
      </w:r>
      <w:r w:rsidR="006654F2">
        <w:t xml:space="preserve"> (DWM)</w:t>
      </w:r>
      <w:r w:rsidRPr="00E706D8">
        <w:t xml:space="preserve">. Additional supporting documents provided to you via </w:t>
      </w:r>
      <w:r w:rsidR="00302C9E">
        <w:t>the EPA</w:t>
      </w:r>
      <w:r w:rsidR="00414867">
        <w:t xml:space="preserve"> Region 1</w:t>
      </w:r>
      <w:r w:rsidR="00302C9E">
        <w:t xml:space="preserve"> QA</w:t>
      </w:r>
      <w:r w:rsidR="00414867">
        <w:t xml:space="preserve"> Roundtable</w:t>
      </w:r>
      <w:r w:rsidR="00302C9E">
        <w:t xml:space="preserve"> </w:t>
      </w:r>
      <w:r w:rsidRPr="00E706D8">
        <w:t>SharePoint</w:t>
      </w:r>
      <w:r w:rsidR="00302C9E">
        <w:t xml:space="preserve"> </w:t>
      </w:r>
      <w:r w:rsidRPr="00E706D8">
        <w:t>(</w:t>
      </w:r>
      <w:hyperlink r:id="rId11" w:history="1">
        <w:r w:rsidRPr="00E706D8">
          <w:rPr>
            <w:rStyle w:val="Hyperlink"/>
          </w:rPr>
          <w:t>https://usepa.sharepoint.com/sites/R1_Community/QARoundtable/MA%20Deliverables/Forms/AllItems.aspx</w:t>
        </w:r>
      </w:hyperlink>
      <w:r w:rsidRPr="00E706D8">
        <w:t>) include</w:t>
      </w:r>
      <w:r w:rsidRPr="00E706D8">
        <w:rPr>
          <w:color w:val="auto"/>
        </w:rPr>
        <w:t xml:space="preserve">: </w:t>
      </w:r>
    </w:p>
    <w:p w14:paraId="0671F026" w14:textId="77777777" w:rsidR="00ED4AFD" w:rsidRPr="00E706D8" w:rsidRDefault="00ED4AFD" w:rsidP="00ED4AFD">
      <w:pPr>
        <w:pStyle w:val="Default"/>
      </w:pPr>
    </w:p>
    <w:p w14:paraId="5C16A1F1" w14:textId="77777777" w:rsidR="00ED4AFD" w:rsidRPr="00E706D8" w:rsidRDefault="00ED4AFD" w:rsidP="00ED4AFD">
      <w:pPr>
        <w:pStyle w:val="Default"/>
        <w:numPr>
          <w:ilvl w:val="0"/>
          <w:numId w:val="1"/>
        </w:numPr>
        <w:spacing w:after="6"/>
      </w:pPr>
      <w:bookmarkStart w:id="0" w:name="_Hlk70090110"/>
      <w:r w:rsidRPr="00E706D8">
        <w:t xml:space="preserve">Sampling and Analysis Plans for 2023 Projects: </w:t>
      </w:r>
    </w:p>
    <w:p w14:paraId="6B4F86F8" w14:textId="72490957" w:rsidR="00ED4AFD" w:rsidRPr="00034406" w:rsidRDefault="00ED4AFD" w:rsidP="00D77A44">
      <w:pPr>
        <w:pStyle w:val="Default"/>
        <w:numPr>
          <w:ilvl w:val="1"/>
          <w:numId w:val="1"/>
        </w:numPr>
        <w:spacing w:after="6"/>
        <w:ind w:left="810" w:hanging="270"/>
        <w:rPr>
          <w:color w:val="auto"/>
        </w:rPr>
      </w:pPr>
      <w:r w:rsidRPr="00034406">
        <w:rPr>
          <w:color w:val="auto"/>
        </w:rPr>
        <w:t xml:space="preserve">CN </w:t>
      </w:r>
      <w:r w:rsidR="00563E3C" w:rsidRPr="00034406">
        <w:rPr>
          <w:color w:val="auto"/>
        </w:rPr>
        <w:t>572.0</w:t>
      </w:r>
      <w:r w:rsidRPr="00034406">
        <w:rPr>
          <w:color w:val="auto"/>
        </w:rPr>
        <w:t xml:space="preserve"> – </w:t>
      </w:r>
      <w:r w:rsidR="003C0B6A" w:rsidRPr="00034406">
        <w:rPr>
          <w:color w:val="auto"/>
        </w:rPr>
        <w:t xml:space="preserve">SAP for </w:t>
      </w:r>
      <w:r w:rsidR="00D41587" w:rsidRPr="00034406">
        <w:rPr>
          <w:color w:val="auto"/>
        </w:rPr>
        <w:t>2023</w:t>
      </w:r>
      <w:r w:rsidR="007B70D9" w:rsidRPr="00034406">
        <w:rPr>
          <w:color w:val="auto"/>
        </w:rPr>
        <w:t xml:space="preserve"> James </w:t>
      </w:r>
      <w:r w:rsidR="00781B4B" w:rsidRPr="00034406">
        <w:rPr>
          <w:color w:val="auto"/>
        </w:rPr>
        <w:t xml:space="preserve">and Unkety </w:t>
      </w:r>
      <w:r w:rsidR="007B70D9" w:rsidRPr="00034406">
        <w:rPr>
          <w:color w:val="auto"/>
        </w:rPr>
        <w:t xml:space="preserve">Brook </w:t>
      </w:r>
      <w:r w:rsidR="0062535C" w:rsidRPr="00034406">
        <w:rPr>
          <w:color w:val="auto"/>
        </w:rPr>
        <w:t xml:space="preserve">NWQI Monitoring </w:t>
      </w:r>
    </w:p>
    <w:p w14:paraId="64F9D1ED" w14:textId="6BBA09BA" w:rsidR="00ED4AFD" w:rsidRPr="007078D9" w:rsidRDefault="00ED4AFD" w:rsidP="00D77A44">
      <w:pPr>
        <w:pStyle w:val="Default"/>
        <w:numPr>
          <w:ilvl w:val="1"/>
          <w:numId w:val="1"/>
        </w:numPr>
        <w:spacing w:after="6"/>
        <w:ind w:left="810" w:hanging="270"/>
        <w:rPr>
          <w:color w:val="auto"/>
        </w:rPr>
      </w:pPr>
      <w:r w:rsidRPr="007078D9">
        <w:rPr>
          <w:color w:val="auto"/>
        </w:rPr>
        <w:t xml:space="preserve">CN </w:t>
      </w:r>
      <w:r w:rsidR="00582ED9" w:rsidRPr="007078D9">
        <w:rPr>
          <w:color w:val="auto"/>
        </w:rPr>
        <w:t>5</w:t>
      </w:r>
      <w:r w:rsidR="007078D9" w:rsidRPr="007078D9">
        <w:rPr>
          <w:color w:val="auto"/>
        </w:rPr>
        <w:t>7</w:t>
      </w:r>
      <w:r w:rsidR="00582ED9" w:rsidRPr="007078D9">
        <w:rPr>
          <w:color w:val="auto"/>
        </w:rPr>
        <w:t>3.0</w:t>
      </w:r>
      <w:r w:rsidRPr="007078D9">
        <w:rPr>
          <w:color w:val="auto"/>
        </w:rPr>
        <w:t xml:space="preserve"> – SAP for </w:t>
      </w:r>
      <w:r w:rsidR="007078D9" w:rsidRPr="007078D9">
        <w:rPr>
          <w:color w:val="auto"/>
        </w:rPr>
        <w:t>2023 Regional Monitoring Network Lakes</w:t>
      </w:r>
    </w:p>
    <w:p w14:paraId="5EF7586C" w14:textId="574AC7E3" w:rsidR="00ED4AFD" w:rsidRPr="00713E72" w:rsidRDefault="00ED4AFD" w:rsidP="00D77A44">
      <w:pPr>
        <w:pStyle w:val="Default"/>
        <w:numPr>
          <w:ilvl w:val="1"/>
          <w:numId w:val="1"/>
        </w:numPr>
        <w:spacing w:after="6"/>
        <w:ind w:left="810" w:hanging="270"/>
        <w:rPr>
          <w:color w:val="auto"/>
        </w:rPr>
      </w:pPr>
      <w:r w:rsidRPr="00713E72">
        <w:rPr>
          <w:color w:val="auto"/>
        </w:rPr>
        <w:t>CN 5</w:t>
      </w:r>
      <w:r w:rsidR="007078D9" w:rsidRPr="00713E72">
        <w:rPr>
          <w:color w:val="auto"/>
        </w:rPr>
        <w:t>7</w:t>
      </w:r>
      <w:r w:rsidRPr="00713E72">
        <w:rPr>
          <w:color w:val="auto"/>
        </w:rPr>
        <w:t>4.0 – SAP for 202</w:t>
      </w:r>
      <w:r w:rsidR="007078D9" w:rsidRPr="00713E72">
        <w:rPr>
          <w:color w:val="auto"/>
        </w:rPr>
        <w:t>3</w:t>
      </w:r>
      <w:r w:rsidRPr="00713E72">
        <w:rPr>
          <w:color w:val="auto"/>
        </w:rPr>
        <w:t xml:space="preserve"> </w:t>
      </w:r>
      <w:r w:rsidR="00713E72" w:rsidRPr="00713E72">
        <w:rPr>
          <w:color w:val="auto"/>
        </w:rPr>
        <w:t xml:space="preserve">Targeted Assessment Monitoring Rivers </w:t>
      </w:r>
      <w:r w:rsidR="000251BD">
        <w:rPr>
          <w:color w:val="auto"/>
        </w:rPr>
        <w:t>i</w:t>
      </w:r>
      <w:r w:rsidR="00713E72" w:rsidRPr="00713E72">
        <w:rPr>
          <w:color w:val="auto"/>
        </w:rPr>
        <w:t xml:space="preserve">n Central </w:t>
      </w:r>
      <w:r w:rsidR="0030550D">
        <w:rPr>
          <w:color w:val="auto"/>
        </w:rPr>
        <w:br/>
        <w:t xml:space="preserve">MA </w:t>
      </w:r>
      <w:r w:rsidR="00713E72" w:rsidRPr="00713E72">
        <w:rPr>
          <w:color w:val="auto"/>
        </w:rPr>
        <w:t>(Watershed Cohort B1)</w:t>
      </w:r>
    </w:p>
    <w:p w14:paraId="52081394" w14:textId="2AF0F079" w:rsidR="00ED4AFD" w:rsidRPr="00616805" w:rsidRDefault="00ED4AFD" w:rsidP="00D77A44">
      <w:pPr>
        <w:pStyle w:val="Default"/>
        <w:numPr>
          <w:ilvl w:val="1"/>
          <w:numId w:val="1"/>
        </w:numPr>
        <w:spacing w:after="6"/>
        <w:ind w:left="810" w:hanging="270"/>
        <w:rPr>
          <w:color w:val="auto"/>
        </w:rPr>
      </w:pPr>
      <w:r w:rsidRPr="00372CE1">
        <w:rPr>
          <w:color w:val="auto"/>
        </w:rPr>
        <w:t>CN 5</w:t>
      </w:r>
      <w:r w:rsidR="00372CE1" w:rsidRPr="00372CE1">
        <w:rPr>
          <w:color w:val="auto"/>
        </w:rPr>
        <w:t>7</w:t>
      </w:r>
      <w:r w:rsidR="002C57E5">
        <w:rPr>
          <w:color w:val="auto"/>
        </w:rPr>
        <w:t>4.5</w:t>
      </w:r>
      <w:r w:rsidRPr="00372CE1">
        <w:rPr>
          <w:color w:val="auto"/>
        </w:rPr>
        <w:t>– SAP for 202</w:t>
      </w:r>
      <w:r w:rsidR="00372CE1" w:rsidRPr="00372CE1">
        <w:rPr>
          <w:color w:val="auto"/>
        </w:rPr>
        <w:t>3</w:t>
      </w:r>
      <w:r w:rsidRPr="00372CE1">
        <w:rPr>
          <w:color w:val="auto"/>
        </w:rPr>
        <w:t xml:space="preserve"> </w:t>
      </w:r>
      <w:r w:rsidR="00616805" w:rsidRPr="00616805">
        <w:rPr>
          <w:color w:val="auto"/>
        </w:rPr>
        <w:t>Targeted Assessment Monitoring</w:t>
      </w:r>
      <w:r w:rsidR="00616805">
        <w:rPr>
          <w:color w:val="auto"/>
        </w:rPr>
        <w:t xml:space="preserve"> </w:t>
      </w:r>
      <w:r w:rsidR="00616805" w:rsidRPr="00616805">
        <w:rPr>
          <w:color w:val="auto"/>
        </w:rPr>
        <w:t xml:space="preserve">Lakes </w:t>
      </w:r>
      <w:r w:rsidR="000251BD">
        <w:rPr>
          <w:color w:val="auto"/>
        </w:rPr>
        <w:t>i</w:t>
      </w:r>
      <w:r w:rsidR="00616805" w:rsidRPr="00616805">
        <w:rPr>
          <w:color w:val="auto"/>
        </w:rPr>
        <w:t xml:space="preserve">n Western </w:t>
      </w:r>
      <w:r w:rsidR="0030550D">
        <w:rPr>
          <w:color w:val="auto"/>
        </w:rPr>
        <w:t>MA</w:t>
      </w:r>
      <w:r w:rsidR="00616805" w:rsidRPr="00616805">
        <w:rPr>
          <w:color w:val="auto"/>
        </w:rPr>
        <w:t xml:space="preserve"> (Watershed Cohort B1)</w:t>
      </w:r>
    </w:p>
    <w:p w14:paraId="390596C9" w14:textId="7B60E35F" w:rsidR="00ED4AFD" w:rsidRPr="000251BD" w:rsidRDefault="00ED4AFD" w:rsidP="00D77A44">
      <w:pPr>
        <w:pStyle w:val="Default"/>
        <w:numPr>
          <w:ilvl w:val="1"/>
          <w:numId w:val="1"/>
        </w:numPr>
        <w:spacing w:after="6"/>
        <w:ind w:left="810" w:hanging="270"/>
        <w:rPr>
          <w:color w:val="auto"/>
        </w:rPr>
      </w:pPr>
      <w:r w:rsidRPr="000251BD">
        <w:rPr>
          <w:color w:val="auto"/>
        </w:rPr>
        <w:t xml:space="preserve">CN </w:t>
      </w:r>
      <w:r w:rsidR="000251BD" w:rsidRPr="000251BD">
        <w:rPr>
          <w:color w:val="auto"/>
        </w:rPr>
        <w:t>575.0 – SAP for 2022-2023 Chloride Monitoring Project</w:t>
      </w:r>
    </w:p>
    <w:bookmarkEnd w:id="0"/>
    <w:p w14:paraId="26767B0E" w14:textId="41B37729" w:rsidR="00ED4AFD" w:rsidRPr="000251BD" w:rsidRDefault="008069AB" w:rsidP="00ED4AFD">
      <w:pPr>
        <w:pStyle w:val="Default"/>
        <w:numPr>
          <w:ilvl w:val="0"/>
          <w:numId w:val="1"/>
        </w:numPr>
        <w:spacing w:after="6"/>
        <w:rPr>
          <w:color w:val="auto"/>
        </w:rPr>
      </w:pPr>
      <w:r>
        <w:rPr>
          <w:color w:val="auto"/>
        </w:rPr>
        <w:t xml:space="preserve">Updated </w:t>
      </w:r>
      <w:r w:rsidR="00ED4AFD" w:rsidRPr="000251BD">
        <w:rPr>
          <w:color w:val="auto"/>
        </w:rPr>
        <w:t>Laboratory SOPs</w:t>
      </w:r>
      <w:r w:rsidR="0020432A">
        <w:rPr>
          <w:color w:val="auto"/>
        </w:rPr>
        <w:t xml:space="preserve"> from Wall Experimental Station</w:t>
      </w:r>
      <w:r w:rsidR="00ED4AFD" w:rsidRPr="000251BD">
        <w:rPr>
          <w:color w:val="auto"/>
        </w:rPr>
        <w:t>:</w:t>
      </w:r>
    </w:p>
    <w:p w14:paraId="07C01738" w14:textId="5BF42E1E" w:rsidR="0020432A" w:rsidRDefault="0024679C" w:rsidP="00D77A44">
      <w:pPr>
        <w:pStyle w:val="Default"/>
        <w:numPr>
          <w:ilvl w:val="1"/>
          <w:numId w:val="1"/>
        </w:numPr>
        <w:spacing w:after="6"/>
        <w:ind w:left="810" w:hanging="270"/>
        <w:rPr>
          <w:color w:val="auto"/>
        </w:rPr>
      </w:pPr>
      <w:r>
        <w:rPr>
          <w:color w:val="auto"/>
        </w:rPr>
        <w:t>EPA 200.2</w:t>
      </w:r>
      <w:r w:rsidR="00C16607">
        <w:rPr>
          <w:color w:val="auto"/>
        </w:rPr>
        <w:t>,</w:t>
      </w:r>
      <w:r>
        <w:rPr>
          <w:color w:val="auto"/>
        </w:rPr>
        <w:t xml:space="preserve"> Rev. 2.0</w:t>
      </w:r>
    </w:p>
    <w:p w14:paraId="6ACE5EBC" w14:textId="08DEF771" w:rsidR="0024679C" w:rsidRDefault="0024679C" w:rsidP="00D77A44">
      <w:pPr>
        <w:pStyle w:val="Default"/>
        <w:numPr>
          <w:ilvl w:val="1"/>
          <w:numId w:val="1"/>
        </w:numPr>
        <w:spacing w:after="6"/>
        <w:ind w:left="810" w:hanging="270"/>
        <w:rPr>
          <w:color w:val="auto"/>
        </w:rPr>
      </w:pPr>
      <w:r>
        <w:rPr>
          <w:color w:val="auto"/>
        </w:rPr>
        <w:t>EPA 200.7</w:t>
      </w:r>
      <w:r w:rsidR="0008543A">
        <w:rPr>
          <w:color w:val="auto"/>
        </w:rPr>
        <w:t>,</w:t>
      </w:r>
      <w:r>
        <w:rPr>
          <w:color w:val="auto"/>
        </w:rPr>
        <w:t xml:space="preserve"> Rev 7.0</w:t>
      </w:r>
    </w:p>
    <w:p w14:paraId="4F983CE1" w14:textId="0C49DE39" w:rsidR="0008543A" w:rsidRDefault="00382B25" w:rsidP="00D77A44">
      <w:pPr>
        <w:pStyle w:val="Default"/>
        <w:numPr>
          <w:ilvl w:val="1"/>
          <w:numId w:val="1"/>
        </w:numPr>
        <w:spacing w:after="6"/>
        <w:ind w:left="810" w:hanging="270"/>
        <w:rPr>
          <w:color w:val="auto"/>
        </w:rPr>
      </w:pPr>
      <w:r>
        <w:rPr>
          <w:color w:val="auto"/>
        </w:rPr>
        <w:t>EPA 200.8</w:t>
      </w:r>
      <w:r w:rsidR="0008543A">
        <w:rPr>
          <w:color w:val="auto"/>
        </w:rPr>
        <w:t>,</w:t>
      </w:r>
      <w:r>
        <w:rPr>
          <w:color w:val="auto"/>
        </w:rPr>
        <w:t xml:space="preserve"> Rev 4.2</w:t>
      </w:r>
    </w:p>
    <w:p w14:paraId="5186D377" w14:textId="22A51BCA" w:rsidR="00B9510F" w:rsidRPr="0069635A" w:rsidRDefault="00B9510F" w:rsidP="00D77A44">
      <w:pPr>
        <w:pStyle w:val="Default"/>
        <w:numPr>
          <w:ilvl w:val="1"/>
          <w:numId w:val="1"/>
        </w:numPr>
        <w:spacing w:after="6"/>
        <w:ind w:left="810" w:hanging="270"/>
        <w:rPr>
          <w:color w:val="auto"/>
        </w:rPr>
      </w:pPr>
      <w:r w:rsidRPr="0069635A">
        <w:rPr>
          <w:color w:val="auto"/>
        </w:rPr>
        <w:t xml:space="preserve">SM 2130 B, </w:t>
      </w:r>
      <w:r w:rsidR="00D6180F" w:rsidRPr="0069635A">
        <w:rPr>
          <w:color w:val="auto"/>
        </w:rPr>
        <w:t xml:space="preserve">Rev. 3.0 </w:t>
      </w:r>
    </w:p>
    <w:p w14:paraId="29706B2F" w14:textId="470735F7" w:rsidR="00D6180F" w:rsidRDefault="002A55A3" w:rsidP="00D77A44">
      <w:pPr>
        <w:pStyle w:val="Default"/>
        <w:numPr>
          <w:ilvl w:val="1"/>
          <w:numId w:val="1"/>
        </w:numPr>
        <w:spacing w:after="6"/>
        <w:ind w:left="810" w:hanging="270"/>
        <w:rPr>
          <w:color w:val="auto"/>
        </w:rPr>
      </w:pPr>
      <w:r w:rsidRPr="0069635A">
        <w:rPr>
          <w:color w:val="auto"/>
        </w:rPr>
        <w:t>SM 9223B-MPN, Rev 1.2</w:t>
      </w:r>
    </w:p>
    <w:p w14:paraId="19FC8842" w14:textId="77777777" w:rsidR="00793449" w:rsidRPr="0069635A" w:rsidRDefault="00793449" w:rsidP="00793449">
      <w:pPr>
        <w:pStyle w:val="Default"/>
        <w:spacing w:after="6"/>
        <w:ind w:left="810"/>
        <w:rPr>
          <w:color w:val="auto"/>
        </w:rPr>
      </w:pPr>
    </w:p>
    <w:p w14:paraId="1823757D" w14:textId="64D237D0" w:rsidR="00ED4AFD" w:rsidRPr="00E706D8" w:rsidRDefault="00ED4AFD" w:rsidP="00ED4AFD">
      <w:pPr>
        <w:pStyle w:val="Default"/>
        <w:numPr>
          <w:ilvl w:val="0"/>
          <w:numId w:val="1"/>
        </w:numPr>
        <w:spacing w:after="6"/>
      </w:pPr>
      <w:r w:rsidRPr="00E706D8">
        <w:lastRenderedPageBreak/>
        <w:t xml:space="preserve">Updated </w:t>
      </w:r>
      <w:r w:rsidR="00B92D3E">
        <w:t xml:space="preserve">WPP </w:t>
      </w:r>
      <w:r w:rsidRPr="00E706D8">
        <w:t>Standard Operating Procedures:</w:t>
      </w:r>
    </w:p>
    <w:p w14:paraId="5625E55B" w14:textId="3DC5BB14" w:rsidR="00986EA3" w:rsidRDefault="0025551C" w:rsidP="00D77A44">
      <w:pPr>
        <w:pStyle w:val="Default"/>
        <w:numPr>
          <w:ilvl w:val="1"/>
          <w:numId w:val="1"/>
        </w:numPr>
        <w:spacing w:after="6"/>
        <w:ind w:left="810" w:hanging="270"/>
        <w:rPr>
          <w:color w:val="auto"/>
        </w:rPr>
      </w:pPr>
      <w:r>
        <w:rPr>
          <w:color w:val="auto"/>
        </w:rPr>
        <w:t xml:space="preserve">CN </w:t>
      </w:r>
      <w:r w:rsidR="00DC5FD2">
        <w:rPr>
          <w:color w:val="auto"/>
        </w:rPr>
        <w:t xml:space="preserve">003.42 – SOP for Chlorophyll </w:t>
      </w:r>
      <w:proofErr w:type="gramStart"/>
      <w:r w:rsidR="00DC5FD2">
        <w:rPr>
          <w:color w:val="auto"/>
        </w:rPr>
        <w:t>a</w:t>
      </w:r>
      <w:proofErr w:type="gramEnd"/>
      <w:r w:rsidR="00DC5FD2">
        <w:rPr>
          <w:color w:val="auto"/>
        </w:rPr>
        <w:t xml:space="preserve"> Analysis</w:t>
      </w:r>
    </w:p>
    <w:p w14:paraId="4791856C" w14:textId="2F9C24D8" w:rsidR="00DC5FD2" w:rsidRDefault="00DC5FD2" w:rsidP="00D77A44">
      <w:pPr>
        <w:pStyle w:val="Default"/>
        <w:numPr>
          <w:ilvl w:val="1"/>
          <w:numId w:val="1"/>
        </w:numPr>
        <w:spacing w:after="6"/>
        <w:ind w:left="810" w:hanging="270"/>
        <w:rPr>
          <w:color w:val="auto"/>
        </w:rPr>
      </w:pPr>
      <w:r>
        <w:rPr>
          <w:color w:val="auto"/>
        </w:rPr>
        <w:t xml:space="preserve">CN 003.45 – SOP for Chlorophyll </w:t>
      </w:r>
      <w:proofErr w:type="gramStart"/>
      <w:r>
        <w:rPr>
          <w:color w:val="auto"/>
        </w:rPr>
        <w:t>a</w:t>
      </w:r>
      <w:proofErr w:type="gramEnd"/>
      <w:r>
        <w:rPr>
          <w:color w:val="auto"/>
        </w:rPr>
        <w:t xml:space="preserve"> Analysis QuickGuide</w:t>
      </w:r>
    </w:p>
    <w:p w14:paraId="30B835C6" w14:textId="1250ACF1" w:rsidR="00DC5FD2" w:rsidRDefault="00DC5FD2" w:rsidP="00D77A44">
      <w:pPr>
        <w:pStyle w:val="Default"/>
        <w:numPr>
          <w:ilvl w:val="1"/>
          <w:numId w:val="1"/>
        </w:numPr>
        <w:spacing w:after="6"/>
        <w:ind w:left="810" w:hanging="270"/>
        <w:rPr>
          <w:color w:val="auto"/>
        </w:rPr>
      </w:pPr>
      <w:r>
        <w:rPr>
          <w:color w:val="auto"/>
        </w:rPr>
        <w:t xml:space="preserve">CN </w:t>
      </w:r>
      <w:r w:rsidR="00D13D13">
        <w:rPr>
          <w:color w:val="auto"/>
        </w:rPr>
        <w:t>004.34 – SOP for YSI EXO1 Multiprobe Field Operation QuickGuide</w:t>
      </w:r>
    </w:p>
    <w:p w14:paraId="7DE9854F" w14:textId="3D207628" w:rsidR="00D13D13" w:rsidRDefault="00D13D13" w:rsidP="00D77A44">
      <w:pPr>
        <w:pStyle w:val="Default"/>
        <w:numPr>
          <w:ilvl w:val="1"/>
          <w:numId w:val="1"/>
        </w:numPr>
        <w:spacing w:after="6"/>
        <w:ind w:left="810" w:hanging="270"/>
        <w:rPr>
          <w:color w:val="auto"/>
        </w:rPr>
      </w:pPr>
      <w:r>
        <w:rPr>
          <w:color w:val="auto"/>
        </w:rPr>
        <w:t xml:space="preserve">CN </w:t>
      </w:r>
      <w:r w:rsidR="00997CBB">
        <w:rPr>
          <w:color w:val="auto"/>
        </w:rPr>
        <w:t>095.2 – SOP for Turbidity Analysis</w:t>
      </w:r>
    </w:p>
    <w:p w14:paraId="3D72E29D" w14:textId="379D28C1" w:rsidR="00997CBB" w:rsidRDefault="00997CBB" w:rsidP="00D77A44">
      <w:pPr>
        <w:pStyle w:val="Default"/>
        <w:numPr>
          <w:ilvl w:val="1"/>
          <w:numId w:val="1"/>
        </w:numPr>
        <w:spacing w:after="6"/>
        <w:ind w:left="810" w:hanging="270"/>
        <w:rPr>
          <w:color w:val="auto"/>
        </w:rPr>
      </w:pPr>
      <w:r>
        <w:rPr>
          <w:color w:val="auto"/>
        </w:rPr>
        <w:t>CN 095.8 – SOP for Turbidity Analysis QuickGuide</w:t>
      </w:r>
    </w:p>
    <w:p w14:paraId="347A2778" w14:textId="1B92CE5F" w:rsidR="00997CBB" w:rsidRDefault="004F70D8" w:rsidP="00D77A44">
      <w:pPr>
        <w:pStyle w:val="Default"/>
        <w:numPr>
          <w:ilvl w:val="1"/>
          <w:numId w:val="1"/>
        </w:numPr>
        <w:spacing w:after="6"/>
        <w:ind w:left="810" w:hanging="270"/>
        <w:rPr>
          <w:color w:val="auto"/>
        </w:rPr>
      </w:pPr>
      <w:r>
        <w:rPr>
          <w:color w:val="auto"/>
        </w:rPr>
        <w:t xml:space="preserve">CN 198.1 – SOP Bacteria Analysis Using Colilert-Enterolert </w:t>
      </w:r>
    </w:p>
    <w:p w14:paraId="06BC8EC7" w14:textId="2A5417C5" w:rsidR="00D913A8" w:rsidRDefault="00FE4AE3" w:rsidP="00D77A44">
      <w:pPr>
        <w:pStyle w:val="Default"/>
        <w:numPr>
          <w:ilvl w:val="1"/>
          <w:numId w:val="1"/>
        </w:numPr>
        <w:spacing w:after="6"/>
        <w:ind w:left="810" w:hanging="270"/>
        <w:rPr>
          <w:color w:val="auto"/>
        </w:rPr>
      </w:pPr>
      <w:r>
        <w:rPr>
          <w:color w:val="auto"/>
        </w:rPr>
        <w:t>CN 198.6 – SOP Bacteria Analysis Colilert QuickGuide</w:t>
      </w:r>
    </w:p>
    <w:p w14:paraId="139F46A2" w14:textId="5458BC3A" w:rsidR="00724099" w:rsidRPr="00D913A8" w:rsidRDefault="00724099" w:rsidP="00D77A44">
      <w:pPr>
        <w:pStyle w:val="Default"/>
        <w:numPr>
          <w:ilvl w:val="1"/>
          <w:numId w:val="1"/>
        </w:numPr>
        <w:spacing w:after="6"/>
        <w:ind w:left="810" w:hanging="270"/>
        <w:rPr>
          <w:color w:val="auto"/>
        </w:rPr>
      </w:pPr>
      <w:r>
        <w:rPr>
          <w:color w:val="auto"/>
        </w:rPr>
        <w:t>CN 584.</w:t>
      </w:r>
      <w:r w:rsidR="00B7243B">
        <w:rPr>
          <w:color w:val="auto"/>
        </w:rPr>
        <w:t>0 – SOP Targeted Assessment Monitoring Lake Field Manual Ver 1.1</w:t>
      </w:r>
    </w:p>
    <w:p w14:paraId="2ACD6C62" w14:textId="5D0CF680" w:rsidR="00ED4AFD" w:rsidRPr="00986EA3" w:rsidRDefault="00ED4AFD" w:rsidP="00ED4AFD">
      <w:pPr>
        <w:pStyle w:val="Default"/>
        <w:numPr>
          <w:ilvl w:val="0"/>
          <w:numId w:val="1"/>
        </w:numPr>
        <w:spacing w:after="6"/>
        <w:rPr>
          <w:color w:val="auto"/>
        </w:rPr>
      </w:pPr>
      <w:r w:rsidRPr="00986EA3">
        <w:rPr>
          <w:color w:val="auto"/>
        </w:rPr>
        <w:t xml:space="preserve">WPP Organization Chart – updated </w:t>
      </w:r>
      <w:r w:rsidR="0030550D">
        <w:rPr>
          <w:color w:val="auto"/>
        </w:rPr>
        <w:t xml:space="preserve">(as of </w:t>
      </w:r>
      <w:r w:rsidR="00B92D3E">
        <w:rPr>
          <w:color w:val="auto"/>
        </w:rPr>
        <w:t>2023-</w:t>
      </w:r>
      <w:r w:rsidR="00ED7DD1">
        <w:rPr>
          <w:color w:val="auto"/>
        </w:rPr>
        <w:t>05-08</w:t>
      </w:r>
      <w:r w:rsidR="0030550D">
        <w:rPr>
          <w:color w:val="auto"/>
        </w:rPr>
        <w:t>)</w:t>
      </w:r>
    </w:p>
    <w:p w14:paraId="25C3A539" w14:textId="77777777" w:rsidR="00ED4AFD" w:rsidRPr="00E706D8" w:rsidRDefault="00ED4AFD" w:rsidP="00ED4AFD">
      <w:pPr>
        <w:pStyle w:val="Default"/>
        <w:spacing w:after="6"/>
        <w:rPr>
          <w:highlight w:val="yellow"/>
        </w:rPr>
      </w:pPr>
    </w:p>
    <w:p w14:paraId="0334A79F" w14:textId="438B04EE" w:rsidR="00ED4AFD" w:rsidRPr="00E706D8" w:rsidRDefault="00ED4AFD" w:rsidP="00ED4AFD">
      <w:pPr>
        <w:pStyle w:val="Default"/>
        <w:spacing w:after="6"/>
      </w:pPr>
      <w:r w:rsidRPr="00E706D8">
        <w:t xml:space="preserve">In addition to the projects listed above, WPP will continue monitoring fish toxics by public request, monitoring potential cyanobacteria/algal blooms, and operating two marine buoys in Mount Hope Bay (through contracted services with the University of Rhode Island’s Marine Ecosystems Research Lab at the Graduate School of Oceanography) in 2023. If you have any comments and/or questions, please contact me at suzanne.flint@mass.gov. </w:t>
      </w:r>
    </w:p>
    <w:p w14:paraId="160F3649" w14:textId="77777777" w:rsidR="00ED4AFD" w:rsidRPr="00E706D8" w:rsidRDefault="00ED4AFD" w:rsidP="00ED4AFD">
      <w:pPr>
        <w:pStyle w:val="Default"/>
      </w:pPr>
    </w:p>
    <w:p w14:paraId="60A258D9" w14:textId="77777777" w:rsidR="00ED4AFD" w:rsidRPr="00E706D8" w:rsidRDefault="00ED4AFD" w:rsidP="00ED4AFD">
      <w:pPr>
        <w:pStyle w:val="Default"/>
      </w:pPr>
      <w:r w:rsidRPr="00E706D8">
        <w:rPr>
          <w:noProof/>
        </w:rPr>
        <w:drawing>
          <wp:anchor distT="0" distB="0" distL="114300" distR="114300" simplePos="0" relativeHeight="251659264" behindDoc="1" locked="0" layoutInCell="1" allowOverlap="1" wp14:anchorId="3587555F" wp14:editId="23E2F089">
            <wp:simplePos x="0" y="0"/>
            <wp:positionH relativeFrom="column">
              <wp:posOffset>-154521</wp:posOffset>
            </wp:positionH>
            <wp:positionV relativeFrom="paragraph">
              <wp:posOffset>138178</wp:posOffset>
            </wp:positionV>
            <wp:extent cx="2303253" cy="487498"/>
            <wp:effectExtent l="0" t="0" r="1905" b="8255"/>
            <wp:wrapNone/>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03253" cy="487498"/>
                    </a:xfrm>
                    <a:prstGeom prst="rect">
                      <a:avLst/>
                    </a:prstGeom>
                  </pic:spPr>
                </pic:pic>
              </a:graphicData>
            </a:graphic>
            <wp14:sizeRelH relativeFrom="margin">
              <wp14:pctWidth>0</wp14:pctWidth>
            </wp14:sizeRelH>
            <wp14:sizeRelV relativeFrom="margin">
              <wp14:pctHeight>0</wp14:pctHeight>
            </wp14:sizeRelV>
          </wp:anchor>
        </w:drawing>
      </w:r>
      <w:r w:rsidRPr="00E706D8">
        <w:t xml:space="preserve">Sincerely, </w:t>
      </w:r>
    </w:p>
    <w:p w14:paraId="4F3774DE" w14:textId="77777777" w:rsidR="00ED4AFD" w:rsidRPr="00E706D8" w:rsidRDefault="00ED4AFD" w:rsidP="00ED4AFD">
      <w:pPr>
        <w:pStyle w:val="Default"/>
      </w:pPr>
    </w:p>
    <w:p w14:paraId="1D8B420A" w14:textId="77777777" w:rsidR="00ED4AFD" w:rsidRPr="00E706D8" w:rsidRDefault="00ED4AFD" w:rsidP="00ED4AFD">
      <w:pPr>
        <w:pStyle w:val="Default"/>
      </w:pPr>
    </w:p>
    <w:p w14:paraId="027147DD" w14:textId="77777777" w:rsidR="00ED4AFD" w:rsidRPr="00E706D8" w:rsidRDefault="00ED4AFD" w:rsidP="00ED4AFD">
      <w:pPr>
        <w:pStyle w:val="Default"/>
      </w:pPr>
      <w:r w:rsidRPr="00E706D8">
        <w:t xml:space="preserve">Suzanne Flint </w:t>
      </w:r>
    </w:p>
    <w:p w14:paraId="4EDE8EAC" w14:textId="77777777" w:rsidR="00ED4AFD" w:rsidRPr="00E706D8" w:rsidRDefault="00ED4AFD" w:rsidP="00ED4AFD">
      <w:pPr>
        <w:pStyle w:val="Default"/>
      </w:pPr>
      <w:r w:rsidRPr="00E706D8">
        <w:t xml:space="preserve">MassDEP-DWM-WPP </w:t>
      </w:r>
    </w:p>
    <w:p w14:paraId="4B144ED4" w14:textId="77777777" w:rsidR="00ED4AFD" w:rsidRPr="00E706D8" w:rsidRDefault="00ED4AFD" w:rsidP="00ED4AFD">
      <w:pPr>
        <w:pStyle w:val="Default"/>
      </w:pPr>
    </w:p>
    <w:p w14:paraId="6520EC89" w14:textId="77777777" w:rsidR="00ED4AFD" w:rsidRPr="00E706D8" w:rsidRDefault="00ED4AFD" w:rsidP="00ED4AFD">
      <w:pPr>
        <w:pStyle w:val="Default"/>
      </w:pPr>
    </w:p>
    <w:p w14:paraId="3B1F3596" w14:textId="4E933A5B" w:rsidR="00ED4AFD" w:rsidRPr="00E706D8" w:rsidRDefault="00ED4AFD" w:rsidP="00ED4AFD">
      <w:pPr>
        <w:pStyle w:val="Default"/>
      </w:pPr>
      <w:r w:rsidRPr="00E706D8">
        <w:t>Cc: Richard Carey, Richard Chase, Arthur Johnson, Shervon De Leon</w:t>
      </w:r>
    </w:p>
    <w:p w14:paraId="08F4872F" w14:textId="77777777" w:rsidR="003967A6" w:rsidRPr="00E706D8" w:rsidRDefault="003967A6" w:rsidP="00D710EE">
      <w:pPr>
        <w:rPr>
          <w:rFonts w:ascii="Cambria" w:hAnsi="Cambria"/>
          <w:sz w:val="24"/>
          <w:szCs w:val="24"/>
        </w:rPr>
      </w:pPr>
    </w:p>
    <w:sectPr w:rsidR="003967A6" w:rsidRPr="00E706D8" w:rsidSect="003967A6">
      <w:headerReference w:type="first" r:id="rId13"/>
      <w:footerReference w:type="first" r:id="rId14"/>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B1FC8" w14:textId="77777777" w:rsidR="00672B87" w:rsidRDefault="00672B87" w:rsidP="009D6980">
      <w:pPr>
        <w:spacing w:after="0" w:line="240" w:lineRule="auto"/>
      </w:pPr>
      <w:r>
        <w:separator/>
      </w:r>
    </w:p>
  </w:endnote>
  <w:endnote w:type="continuationSeparator" w:id="0">
    <w:p w14:paraId="5FC09F1A" w14:textId="77777777" w:rsidR="00672B87" w:rsidRDefault="00672B87" w:rsidP="009D6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520" w:type="dxa"/>
      <w:jc w:val="center"/>
      <w:tblLayout w:type="fixed"/>
      <w:tblLook w:val="04A0" w:firstRow="1" w:lastRow="0" w:firstColumn="1" w:lastColumn="0" w:noHBand="0" w:noVBand="1"/>
    </w:tblPr>
    <w:tblGrid>
      <w:gridCol w:w="11520"/>
    </w:tblGrid>
    <w:tr w:rsidR="00D710EE" w14:paraId="42C9A6E6" w14:textId="77777777" w:rsidTr="00D710EE">
      <w:trPr>
        <w:trHeight w:val="363"/>
        <w:jc w:val="center"/>
      </w:trPr>
      <w:tc>
        <w:tcPr>
          <w:tcW w:w="11520" w:type="dxa"/>
          <w:vAlign w:val="bottom"/>
          <w:hideMark/>
        </w:tcPr>
        <w:p w14:paraId="37EAB90B" w14:textId="77777777" w:rsidR="00D710EE" w:rsidRDefault="00D710EE" w:rsidP="00D710EE">
          <w:pPr>
            <w:spacing w:after="0"/>
            <w:ind w:left="72" w:right="162"/>
            <w:jc w:val="center"/>
            <w:rPr>
              <w:rFonts w:ascii="Arial" w:hAnsi="Arial"/>
              <w:b/>
              <w:color w:val="008000"/>
              <w:sz w:val="14"/>
            </w:rPr>
          </w:pPr>
          <w:r>
            <w:rPr>
              <w:rFonts w:ascii="Arial" w:hAnsi="Arial"/>
              <w:b/>
              <w:color w:val="008000"/>
              <w:sz w:val="14"/>
            </w:rPr>
            <w:t xml:space="preserve">This information is available in alternate format. Please contact </w:t>
          </w:r>
          <w:proofErr w:type="spellStart"/>
          <w:r>
            <w:rPr>
              <w:rFonts w:ascii="Arial" w:hAnsi="Arial"/>
              <w:b/>
              <w:color w:val="008000"/>
              <w:sz w:val="14"/>
            </w:rPr>
            <w:t>Melixza</w:t>
          </w:r>
          <w:proofErr w:type="spellEnd"/>
          <w:r>
            <w:rPr>
              <w:rFonts w:ascii="Arial" w:hAnsi="Arial"/>
              <w:b/>
              <w:color w:val="008000"/>
              <w:sz w:val="14"/>
            </w:rPr>
            <w:t xml:space="preserve"> </w:t>
          </w:r>
          <w:proofErr w:type="spellStart"/>
          <w:r>
            <w:rPr>
              <w:rFonts w:ascii="Arial" w:hAnsi="Arial"/>
              <w:b/>
              <w:color w:val="008000"/>
              <w:sz w:val="14"/>
            </w:rPr>
            <w:t>Esenyie</w:t>
          </w:r>
          <w:proofErr w:type="spellEnd"/>
          <w:r>
            <w:rPr>
              <w:rFonts w:ascii="Arial" w:hAnsi="Arial"/>
              <w:b/>
              <w:color w:val="008000"/>
              <w:sz w:val="14"/>
            </w:rPr>
            <w:t xml:space="preserve"> at 617-626-1282.</w:t>
          </w:r>
          <w:r>
            <w:rPr>
              <w:rFonts w:ascii="Arial" w:hAnsi="Arial"/>
              <w:b/>
              <w:color w:val="008000"/>
              <w:sz w:val="14"/>
            </w:rPr>
            <w:br/>
            <w:t xml:space="preserve">TTY# </w:t>
          </w:r>
          <w:proofErr w:type="spellStart"/>
          <w:r>
            <w:rPr>
              <w:rFonts w:ascii="Arial" w:hAnsi="Arial"/>
              <w:b/>
              <w:color w:val="008000"/>
              <w:sz w:val="14"/>
            </w:rPr>
            <w:t>MassRelay</w:t>
          </w:r>
          <w:proofErr w:type="spellEnd"/>
          <w:r>
            <w:rPr>
              <w:rFonts w:ascii="Arial" w:hAnsi="Arial"/>
              <w:b/>
              <w:color w:val="008000"/>
              <w:sz w:val="14"/>
            </w:rPr>
            <w:t xml:space="preserve"> Service 1-800-439-2370</w:t>
          </w:r>
          <w:r>
            <w:rPr>
              <w:rFonts w:ascii="Arial" w:hAnsi="Arial"/>
              <w:b/>
              <w:color w:val="008000"/>
              <w:sz w:val="14"/>
            </w:rPr>
            <w:br/>
            <w:t>MassDEP Website: www.mass.gov/dep</w:t>
          </w:r>
        </w:p>
      </w:tc>
    </w:tr>
    <w:tr w:rsidR="00D710EE" w14:paraId="2B36973C" w14:textId="77777777" w:rsidTr="00D710EE">
      <w:trPr>
        <w:trHeight w:val="296"/>
        <w:jc w:val="center"/>
      </w:trPr>
      <w:tc>
        <w:tcPr>
          <w:tcW w:w="11520" w:type="dxa"/>
          <w:vAlign w:val="bottom"/>
          <w:hideMark/>
        </w:tcPr>
        <w:p w14:paraId="4D149F78" w14:textId="77777777" w:rsidR="00D710EE" w:rsidRDefault="00D710EE" w:rsidP="00D710EE">
          <w:pPr>
            <w:spacing w:after="0"/>
            <w:ind w:left="72" w:right="162"/>
            <w:jc w:val="center"/>
            <w:rPr>
              <w:rFonts w:ascii="Arial" w:hAnsi="Arial"/>
              <w:b/>
              <w:color w:val="008000"/>
              <w:sz w:val="14"/>
            </w:rPr>
          </w:pPr>
          <w:r>
            <w:rPr>
              <w:rFonts w:ascii="Arial" w:hAnsi="Arial"/>
              <w:b/>
              <w:color w:val="008000"/>
              <w:sz w:val="14"/>
            </w:rPr>
            <w:t>Printed on Recycled Paper</w:t>
          </w:r>
        </w:p>
      </w:tc>
    </w:tr>
  </w:tbl>
  <w:p w14:paraId="6854AE10" w14:textId="77777777" w:rsidR="00B32C25" w:rsidRDefault="003A7179">
    <w:pPr>
      <w:pStyle w:val="Footer"/>
    </w:pPr>
    <w: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E799F" w14:textId="77777777" w:rsidR="00672B87" w:rsidRDefault="00672B87" w:rsidP="009D6980">
      <w:pPr>
        <w:spacing w:after="0" w:line="240" w:lineRule="auto"/>
      </w:pPr>
      <w:r>
        <w:separator/>
      </w:r>
    </w:p>
  </w:footnote>
  <w:footnote w:type="continuationSeparator" w:id="0">
    <w:p w14:paraId="22D5DD92" w14:textId="77777777" w:rsidR="00672B87" w:rsidRDefault="00672B87" w:rsidP="009D69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A0" w:firstRow="1" w:lastRow="0" w:firstColumn="1" w:lastColumn="0" w:noHBand="0" w:noVBand="0"/>
    </w:tblPr>
    <w:tblGrid>
      <w:gridCol w:w="1620"/>
      <w:gridCol w:w="9200"/>
    </w:tblGrid>
    <w:tr w:rsidR="003967A6" w14:paraId="4D1EF134" w14:textId="77777777" w:rsidTr="00D43625">
      <w:trPr>
        <w:trHeight w:hRule="exact" w:val="1380"/>
        <w:jc w:val="center"/>
      </w:trPr>
      <w:tc>
        <w:tcPr>
          <w:tcW w:w="1620" w:type="dxa"/>
          <w:vMerge w:val="restart"/>
          <w:tcBorders>
            <w:top w:val="nil"/>
            <w:left w:val="nil"/>
            <w:right w:val="nil"/>
          </w:tcBorders>
        </w:tcPr>
        <w:p w14:paraId="23A6D9E5" w14:textId="77777777" w:rsidR="003967A6" w:rsidRDefault="003967A6" w:rsidP="003967A6">
          <w:pPr>
            <w:pStyle w:val="Header"/>
            <w:jc w:val="both"/>
          </w:pPr>
          <w:r>
            <w:rPr>
              <w:noProof/>
            </w:rPr>
            <w:drawing>
              <wp:inline distT="0" distB="0" distL="0" distR="0" wp14:anchorId="228DF46B" wp14:editId="3AE66957">
                <wp:extent cx="862965" cy="1111885"/>
                <wp:effectExtent l="19050" t="0" r="0" b="0"/>
                <wp:docPr id="3"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862965" cy="1111885"/>
                        </a:xfrm>
                        <a:prstGeom prst="rect">
                          <a:avLst/>
                        </a:prstGeom>
                        <a:noFill/>
                        <a:ln w="9525">
                          <a:noFill/>
                          <a:miter lim="800000"/>
                          <a:headEnd/>
                          <a:tailEnd/>
                        </a:ln>
                      </pic:spPr>
                    </pic:pic>
                  </a:graphicData>
                </a:graphic>
              </wp:inline>
            </w:drawing>
          </w:r>
        </w:p>
      </w:tc>
      <w:tc>
        <w:tcPr>
          <w:tcW w:w="9200" w:type="dxa"/>
          <w:tcBorders>
            <w:top w:val="nil"/>
            <w:left w:val="nil"/>
            <w:bottom w:val="nil"/>
            <w:right w:val="nil"/>
          </w:tcBorders>
          <w:tcMar>
            <w:left w:w="0" w:type="dxa"/>
          </w:tcMar>
        </w:tcPr>
        <w:p w14:paraId="5301E129" w14:textId="77777777" w:rsidR="003967A6" w:rsidRDefault="003967A6" w:rsidP="003967A6">
          <w:pPr>
            <w:pStyle w:val="Header"/>
          </w:pPr>
          <w:r>
            <w:rPr>
              <w:noProof/>
            </w:rPr>
            <w:drawing>
              <wp:inline distT="0" distB="0" distL="0" distR="0" wp14:anchorId="3463F87C" wp14:editId="7A408AA1">
                <wp:extent cx="5837555" cy="855980"/>
                <wp:effectExtent l="19050" t="0" r="0" b="0"/>
                <wp:docPr id="8" name="Picture 10" descr="P:\P Documents\logo10\letterhead\BMP\header_tex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P Documents\logo10\letterhead\BMP\header_text.bmp"/>
                        <pic:cNvPicPr>
                          <a:picLocks noChangeAspect="1" noChangeArrowheads="1"/>
                        </pic:cNvPicPr>
                      </pic:nvPicPr>
                      <pic:blipFill>
                        <a:blip r:embed="rId2"/>
                        <a:srcRect/>
                        <a:stretch>
                          <a:fillRect/>
                        </a:stretch>
                      </pic:blipFill>
                      <pic:spPr bwMode="auto">
                        <a:xfrm>
                          <a:off x="0" y="0"/>
                          <a:ext cx="5837555" cy="855980"/>
                        </a:xfrm>
                        <a:prstGeom prst="rect">
                          <a:avLst/>
                        </a:prstGeom>
                        <a:noFill/>
                        <a:ln w="9525">
                          <a:noFill/>
                          <a:miter lim="800000"/>
                          <a:headEnd/>
                          <a:tailEnd/>
                        </a:ln>
                      </pic:spPr>
                    </pic:pic>
                  </a:graphicData>
                </a:graphic>
              </wp:inline>
            </w:drawing>
          </w:r>
        </w:p>
        <w:p w14:paraId="0A27B9DD" w14:textId="77777777" w:rsidR="003967A6" w:rsidRDefault="003967A6" w:rsidP="003967A6">
          <w:pPr>
            <w:pStyle w:val="Header"/>
          </w:pPr>
        </w:p>
        <w:p w14:paraId="31121034" w14:textId="77777777" w:rsidR="003967A6" w:rsidRDefault="003967A6" w:rsidP="003967A6"/>
        <w:p w14:paraId="1D046838" w14:textId="77777777" w:rsidR="003967A6" w:rsidRPr="001A50BD" w:rsidRDefault="003967A6" w:rsidP="003967A6">
          <w:pPr>
            <w:tabs>
              <w:tab w:val="left" w:pos="1868"/>
            </w:tabs>
          </w:pPr>
        </w:p>
      </w:tc>
    </w:tr>
    <w:tr w:rsidR="003967A6" w14:paraId="45E259BE" w14:textId="77777777" w:rsidTr="00D43625">
      <w:trPr>
        <w:trHeight w:hRule="exact" w:val="600"/>
        <w:jc w:val="center"/>
      </w:trPr>
      <w:tc>
        <w:tcPr>
          <w:tcW w:w="1620" w:type="dxa"/>
          <w:vMerge/>
          <w:tcBorders>
            <w:left w:val="nil"/>
            <w:bottom w:val="nil"/>
            <w:right w:val="nil"/>
          </w:tcBorders>
        </w:tcPr>
        <w:p w14:paraId="37182EF5" w14:textId="77777777" w:rsidR="003967A6" w:rsidRDefault="003967A6" w:rsidP="003967A6">
          <w:pPr>
            <w:pStyle w:val="Header"/>
            <w:jc w:val="both"/>
          </w:pPr>
        </w:p>
      </w:tc>
      <w:tc>
        <w:tcPr>
          <w:tcW w:w="9200" w:type="dxa"/>
          <w:tcBorders>
            <w:top w:val="nil"/>
            <w:left w:val="nil"/>
            <w:bottom w:val="nil"/>
            <w:right w:val="nil"/>
          </w:tcBorders>
          <w:tcMar>
            <w:left w:w="140" w:type="dxa"/>
          </w:tcMar>
        </w:tcPr>
        <w:p w14:paraId="35CE4964" w14:textId="206C0837" w:rsidR="003967A6" w:rsidRDefault="00D81FA6" w:rsidP="003967A6">
          <w:pPr>
            <w:pStyle w:val="Header"/>
            <w:ind w:left="-120"/>
          </w:pPr>
          <w:r>
            <w:rPr>
              <w:noProof/>
            </w:rPr>
            <w:drawing>
              <wp:inline distT="0" distB="0" distL="0" distR="0" wp14:anchorId="6B83F960" wp14:editId="4102B815">
                <wp:extent cx="4584700" cy="16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tretch>
                          <a:fillRect/>
                        </a:stretch>
                      </pic:blipFill>
                      <pic:spPr>
                        <a:xfrm>
                          <a:off x="0" y="0"/>
                          <a:ext cx="4584700" cy="165100"/>
                        </a:xfrm>
                        <a:prstGeom prst="rect">
                          <a:avLst/>
                        </a:prstGeom>
                      </pic:spPr>
                    </pic:pic>
                  </a:graphicData>
                </a:graphic>
              </wp:inline>
            </w:drawing>
          </w:r>
        </w:p>
      </w:tc>
    </w:tr>
    <w:tr w:rsidR="003967A6" w:rsidRPr="00910856" w14:paraId="45C3C9C1" w14:textId="77777777" w:rsidTr="00D43625">
      <w:trPr>
        <w:trHeight w:val="600"/>
        <w:jc w:val="center"/>
      </w:trPr>
      <w:tc>
        <w:tcPr>
          <w:tcW w:w="1620" w:type="dxa"/>
          <w:tcBorders>
            <w:top w:val="nil"/>
            <w:left w:val="nil"/>
            <w:bottom w:val="nil"/>
            <w:right w:val="nil"/>
          </w:tcBorders>
        </w:tcPr>
        <w:p w14:paraId="1799B4C1" w14:textId="77777777" w:rsidR="00DE2D87" w:rsidRDefault="00FB65B9" w:rsidP="003967A6">
          <w:pPr>
            <w:spacing w:after="0"/>
            <w:rPr>
              <w:rFonts w:ascii="Arial" w:hAnsi="Arial" w:cs="Arial"/>
              <w:color w:val="359D6E"/>
              <w:sz w:val="16"/>
              <w:szCs w:val="16"/>
            </w:rPr>
          </w:pPr>
          <w:r w:rsidRPr="00FB65B9">
            <w:rPr>
              <w:rFonts w:ascii="Arial" w:hAnsi="Arial" w:cs="Arial"/>
              <w:color w:val="359D6E"/>
              <w:sz w:val="16"/>
              <w:szCs w:val="16"/>
            </w:rPr>
            <w:t>Maura T. Healey</w:t>
          </w:r>
        </w:p>
        <w:p w14:paraId="7EB804B6" w14:textId="77777777" w:rsidR="003967A6" w:rsidRDefault="003967A6" w:rsidP="003967A6">
          <w:pPr>
            <w:spacing w:after="0"/>
            <w:rPr>
              <w:rFonts w:ascii="Arial" w:hAnsi="Arial" w:cs="Arial"/>
              <w:color w:val="359D6E"/>
              <w:sz w:val="16"/>
              <w:szCs w:val="16"/>
            </w:rPr>
          </w:pPr>
          <w:r>
            <w:rPr>
              <w:rFonts w:ascii="Arial" w:hAnsi="Arial" w:cs="Arial"/>
              <w:color w:val="359D6E"/>
              <w:sz w:val="16"/>
              <w:szCs w:val="16"/>
            </w:rPr>
            <w:t>Governor</w:t>
          </w:r>
        </w:p>
        <w:p w14:paraId="7499A796" w14:textId="77777777" w:rsidR="003967A6" w:rsidRDefault="003967A6" w:rsidP="003967A6">
          <w:pPr>
            <w:spacing w:after="0"/>
            <w:rPr>
              <w:rFonts w:ascii="Arial" w:hAnsi="Arial" w:cs="Arial"/>
              <w:color w:val="359D6E"/>
              <w:sz w:val="16"/>
              <w:szCs w:val="16"/>
            </w:rPr>
          </w:pPr>
        </w:p>
        <w:p w14:paraId="45BF0DDE" w14:textId="77777777" w:rsidR="003C541A" w:rsidRPr="003C541A" w:rsidRDefault="003C541A" w:rsidP="003967A6">
          <w:pPr>
            <w:spacing w:after="0"/>
            <w:rPr>
              <w:rFonts w:ascii="Arial" w:hAnsi="Arial" w:cs="Arial"/>
              <w:color w:val="359D6E"/>
              <w:sz w:val="16"/>
              <w:szCs w:val="16"/>
            </w:rPr>
          </w:pPr>
          <w:r w:rsidRPr="003C541A">
            <w:rPr>
              <w:rFonts w:ascii="Arial" w:hAnsi="Arial" w:cs="Arial"/>
              <w:color w:val="359D6E"/>
              <w:sz w:val="16"/>
              <w:szCs w:val="16"/>
            </w:rPr>
            <w:t>Kimberley Driscoll</w:t>
          </w:r>
        </w:p>
        <w:p w14:paraId="4D83D889" w14:textId="77777777" w:rsidR="003967A6" w:rsidRDefault="003967A6" w:rsidP="003967A6">
          <w:pPr>
            <w:spacing w:after="0"/>
            <w:rPr>
              <w:rFonts w:ascii="Arial" w:hAnsi="Arial" w:cs="Arial"/>
              <w:color w:val="359D6E"/>
              <w:sz w:val="16"/>
              <w:szCs w:val="16"/>
            </w:rPr>
          </w:pPr>
          <w:r>
            <w:rPr>
              <w:rFonts w:ascii="Arial" w:hAnsi="Arial" w:cs="Arial"/>
              <w:color w:val="359D6E"/>
              <w:sz w:val="16"/>
              <w:szCs w:val="16"/>
            </w:rPr>
            <w:t>Lieutenant Governor</w:t>
          </w:r>
        </w:p>
        <w:p w14:paraId="5616E645" w14:textId="77777777" w:rsidR="003967A6" w:rsidRPr="00FB65B9" w:rsidRDefault="003967A6" w:rsidP="003967A6">
          <w:pPr>
            <w:pStyle w:val="Header"/>
            <w:rPr>
              <w:rFonts w:ascii="Arial" w:hAnsi="Arial" w:cs="Arial"/>
              <w:color w:val="359D6E"/>
              <w:sz w:val="16"/>
              <w:szCs w:val="16"/>
            </w:rPr>
          </w:pPr>
        </w:p>
      </w:tc>
      <w:tc>
        <w:tcPr>
          <w:tcW w:w="9200" w:type="dxa"/>
          <w:tcBorders>
            <w:top w:val="nil"/>
            <w:left w:val="nil"/>
            <w:bottom w:val="nil"/>
            <w:right w:val="nil"/>
          </w:tcBorders>
        </w:tcPr>
        <w:p w14:paraId="478CD17D" w14:textId="77777777" w:rsidR="00910856" w:rsidRPr="00910856" w:rsidRDefault="00910856" w:rsidP="00F971A7">
          <w:pPr>
            <w:spacing w:after="0"/>
            <w:jc w:val="right"/>
            <w:rPr>
              <w:rFonts w:ascii="Arial" w:hAnsi="Arial" w:cs="Arial"/>
              <w:color w:val="359D6E"/>
              <w:sz w:val="16"/>
              <w:szCs w:val="16"/>
            </w:rPr>
          </w:pPr>
          <w:r w:rsidRPr="00910856">
            <w:rPr>
              <w:rFonts w:ascii="Arial" w:hAnsi="Arial" w:cs="Arial"/>
              <w:color w:val="359D6E"/>
              <w:sz w:val="16"/>
              <w:szCs w:val="16"/>
            </w:rPr>
            <w:t>Rebecca L. Tepper</w:t>
          </w:r>
        </w:p>
        <w:p w14:paraId="004D7BE2" w14:textId="77777777" w:rsidR="00F971A7" w:rsidRDefault="00F971A7" w:rsidP="00F971A7">
          <w:pPr>
            <w:spacing w:after="0"/>
            <w:jc w:val="right"/>
            <w:rPr>
              <w:rFonts w:ascii="Arial" w:hAnsi="Arial" w:cs="Arial"/>
              <w:color w:val="359D6E"/>
              <w:sz w:val="16"/>
              <w:szCs w:val="16"/>
            </w:rPr>
          </w:pPr>
          <w:r>
            <w:rPr>
              <w:rFonts w:ascii="Arial" w:hAnsi="Arial" w:cs="Arial"/>
              <w:color w:val="359D6E"/>
              <w:sz w:val="16"/>
              <w:szCs w:val="16"/>
            </w:rPr>
            <w:t>Secretary</w:t>
          </w:r>
        </w:p>
        <w:p w14:paraId="37964DEA" w14:textId="77777777" w:rsidR="003967A6" w:rsidRDefault="003967A6" w:rsidP="003967A6">
          <w:pPr>
            <w:spacing w:after="0"/>
            <w:jc w:val="right"/>
            <w:rPr>
              <w:rFonts w:ascii="Arial" w:hAnsi="Arial" w:cs="Arial"/>
              <w:color w:val="359D6E"/>
              <w:sz w:val="16"/>
              <w:szCs w:val="16"/>
            </w:rPr>
          </w:pPr>
        </w:p>
        <w:p w14:paraId="1C37E86C" w14:textId="77777777" w:rsidR="006D6F46" w:rsidRDefault="006D6F46" w:rsidP="003967A6">
          <w:pPr>
            <w:pStyle w:val="Header"/>
            <w:ind w:right="10"/>
            <w:jc w:val="right"/>
            <w:rPr>
              <w:rFonts w:ascii="Arial" w:hAnsi="Arial" w:cs="Arial"/>
              <w:color w:val="359D6E"/>
              <w:sz w:val="16"/>
              <w:szCs w:val="16"/>
            </w:rPr>
          </w:pPr>
          <w:r w:rsidRPr="006D6F46">
            <w:rPr>
              <w:rFonts w:ascii="Arial" w:hAnsi="Arial" w:cs="Arial"/>
              <w:color w:val="359D6E"/>
              <w:sz w:val="16"/>
              <w:szCs w:val="16"/>
            </w:rPr>
            <w:t xml:space="preserve">Bonnie </w:t>
          </w:r>
          <w:proofErr w:type="spellStart"/>
          <w:r w:rsidRPr="006D6F46">
            <w:rPr>
              <w:rFonts w:ascii="Arial" w:hAnsi="Arial" w:cs="Arial"/>
              <w:color w:val="359D6E"/>
              <w:sz w:val="16"/>
              <w:szCs w:val="16"/>
            </w:rPr>
            <w:t>Heiple</w:t>
          </w:r>
          <w:proofErr w:type="spellEnd"/>
        </w:p>
        <w:p w14:paraId="27DC3401" w14:textId="77777777" w:rsidR="003967A6" w:rsidRPr="00910856" w:rsidRDefault="003967A6" w:rsidP="003967A6">
          <w:pPr>
            <w:pStyle w:val="Header"/>
            <w:ind w:right="10"/>
            <w:jc w:val="right"/>
            <w:rPr>
              <w:rFonts w:ascii="Arial" w:hAnsi="Arial" w:cs="Arial"/>
              <w:color w:val="359D6E"/>
              <w:sz w:val="16"/>
              <w:szCs w:val="16"/>
            </w:rPr>
          </w:pPr>
          <w:r>
            <w:rPr>
              <w:rFonts w:ascii="Arial" w:hAnsi="Arial" w:cs="Arial"/>
              <w:color w:val="359D6E"/>
              <w:sz w:val="16"/>
              <w:szCs w:val="16"/>
            </w:rPr>
            <w:t>Commissioner</w:t>
          </w:r>
        </w:p>
      </w:tc>
    </w:tr>
  </w:tbl>
  <w:p w14:paraId="031FBE38" w14:textId="77777777" w:rsidR="00D36DE4" w:rsidRDefault="00D36DE4" w:rsidP="00465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C67B6"/>
    <w:multiLevelType w:val="hybridMultilevel"/>
    <w:tmpl w:val="229E77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12509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1FE"/>
    <w:rsid w:val="000028F0"/>
    <w:rsid w:val="00004E9A"/>
    <w:rsid w:val="000069D2"/>
    <w:rsid w:val="0001625D"/>
    <w:rsid w:val="0002027A"/>
    <w:rsid w:val="000251BD"/>
    <w:rsid w:val="0002625B"/>
    <w:rsid w:val="00034406"/>
    <w:rsid w:val="00046856"/>
    <w:rsid w:val="00047E2F"/>
    <w:rsid w:val="00054FD3"/>
    <w:rsid w:val="000675F5"/>
    <w:rsid w:val="000775BD"/>
    <w:rsid w:val="0008543A"/>
    <w:rsid w:val="00087A29"/>
    <w:rsid w:val="0009141A"/>
    <w:rsid w:val="0009316A"/>
    <w:rsid w:val="00093A09"/>
    <w:rsid w:val="000A5411"/>
    <w:rsid w:val="000C38E3"/>
    <w:rsid w:val="000D4E17"/>
    <w:rsid w:val="000D4FFE"/>
    <w:rsid w:val="000E2CDC"/>
    <w:rsid w:val="000F71F8"/>
    <w:rsid w:val="000F77AF"/>
    <w:rsid w:val="00102809"/>
    <w:rsid w:val="00106920"/>
    <w:rsid w:val="00113D8A"/>
    <w:rsid w:val="00116597"/>
    <w:rsid w:val="00127BE3"/>
    <w:rsid w:val="00133CC1"/>
    <w:rsid w:val="0014688D"/>
    <w:rsid w:val="00151AEF"/>
    <w:rsid w:val="0015240F"/>
    <w:rsid w:val="001529C2"/>
    <w:rsid w:val="00152EEF"/>
    <w:rsid w:val="0019490D"/>
    <w:rsid w:val="001A7DD3"/>
    <w:rsid w:val="001B267A"/>
    <w:rsid w:val="001B5E6E"/>
    <w:rsid w:val="001C0833"/>
    <w:rsid w:val="001C511F"/>
    <w:rsid w:val="001D02D2"/>
    <w:rsid w:val="001E2E60"/>
    <w:rsid w:val="001E4632"/>
    <w:rsid w:val="001F0E33"/>
    <w:rsid w:val="001F1E5B"/>
    <w:rsid w:val="00201039"/>
    <w:rsid w:val="002021D3"/>
    <w:rsid w:val="0020432A"/>
    <w:rsid w:val="00217FDB"/>
    <w:rsid w:val="00244AB2"/>
    <w:rsid w:val="002454FD"/>
    <w:rsid w:val="0024679C"/>
    <w:rsid w:val="0025551C"/>
    <w:rsid w:val="00267473"/>
    <w:rsid w:val="002754FC"/>
    <w:rsid w:val="002758BB"/>
    <w:rsid w:val="00281E46"/>
    <w:rsid w:val="00295295"/>
    <w:rsid w:val="00295BCD"/>
    <w:rsid w:val="002973B1"/>
    <w:rsid w:val="002A000F"/>
    <w:rsid w:val="002A55A3"/>
    <w:rsid w:val="002A7632"/>
    <w:rsid w:val="002B7F54"/>
    <w:rsid w:val="002C57E5"/>
    <w:rsid w:val="002C7920"/>
    <w:rsid w:val="003013A4"/>
    <w:rsid w:val="00302C9E"/>
    <w:rsid w:val="0030550D"/>
    <w:rsid w:val="00325DC9"/>
    <w:rsid w:val="003447E4"/>
    <w:rsid w:val="003531E2"/>
    <w:rsid w:val="003659B7"/>
    <w:rsid w:val="00372CE1"/>
    <w:rsid w:val="00373B14"/>
    <w:rsid w:val="00382B25"/>
    <w:rsid w:val="003859E7"/>
    <w:rsid w:val="0039442B"/>
    <w:rsid w:val="003967A6"/>
    <w:rsid w:val="003A287C"/>
    <w:rsid w:val="003A7179"/>
    <w:rsid w:val="003C0B6A"/>
    <w:rsid w:val="003C541A"/>
    <w:rsid w:val="003D0998"/>
    <w:rsid w:val="003E185E"/>
    <w:rsid w:val="003F3EBD"/>
    <w:rsid w:val="00401590"/>
    <w:rsid w:val="0040390B"/>
    <w:rsid w:val="00403CFD"/>
    <w:rsid w:val="0040786F"/>
    <w:rsid w:val="00414867"/>
    <w:rsid w:val="0043482C"/>
    <w:rsid w:val="00441D65"/>
    <w:rsid w:val="00452CD7"/>
    <w:rsid w:val="00465381"/>
    <w:rsid w:val="00491A08"/>
    <w:rsid w:val="004B2FE0"/>
    <w:rsid w:val="004D4043"/>
    <w:rsid w:val="004D4E16"/>
    <w:rsid w:val="004E3F71"/>
    <w:rsid w:val="004E7531"/>
    <w:rsid w:val="004E766B"/>
    <w:rsid w:val="004F70D8"/>
    <w:rsid w:val="00502B95"/>
    <w:rsid w:val="00506212"/>
    <w:rsid w:val="00514EAD"/>
    <w:rsid w:val="00522EDD"/>
    <w:rsid w:val="0054177D"/>
    <w:rsid w:val="005502DB"/>
    <w:rsid w:val="00560802"/>
    <w:rsid w:val="00561C14"/>
    <w:rsid w:val="00561E59"/>
    <w:rsid w:val="00563E3C"/>
    <w:rsid w:val="00582ED9"/>
    <w:rsid w:val="0058349B"/>
    <w:rsid w:val="005A173D"/>
    <w:rsid w:val="005A22EF"/>
    <w:rsid w:val="005A7724"/>
    <w:rsid w:val="005B50EA"/>
    <w:rsid w:val="005D3D5F"/>
    <w:rsid w:val="00616805"/>
    <w:rsid w:val="00616E79"/>
    <w:rsid w:val="00621A09"/>
    <w:rsid w:val="0062535C"/>
    <w:rsid w:val="00633799"/>
    <w:rsid w:val="00654A1B"/>
    <w:rsid w:val="006654F2"/>
    <w:rsid w:val="00670543"/>
    <w:rsid w:val="00670602"/>
    <w:rsid w:val="00672B87"/>
    <w:rsid w:val="0067384B"/>
    <w:rsid w:val="00680072"/>
    <w:rsid w:val="0068041F"/>
    <w:rsid w:val="0069635A"/>
    <w:rsid w:val="006A57BE"/>
    <w:rsid w:val="006B5704"/>
    <w:rsid w:val="006D2A04"/>
    <w:rsid w:val="006D6F46"/>
    <w:rsid w:val="006D75A2"/>
    <w:rsid w:val="006E61CA"/>
    <w:rsid w:val="007002A8"/>
    <w:rsid w:val="00702A51"/>
    <w:rsid w:val="007040DF"/>
    <w:rsid w:val="007061A2"/>
    <w:rsid w:val="007078D9"/>
    <w:rsid w:val="00713E72"/>
    <w:rsid w:val="00715666"/>
    <w:rsid w:val="00724099"/>
    <w:rsid w:val="00726389"/>
    <w:rsid w:val="00734D50"/>
    <w:rsid w:val="00734E23"/>
    <w:rsid w:val="00741BBC"/>
    <w:rsid w:val="0075041C"/>
    <w:rsid w:val="0077151A"/>
    <w:rsid w:val="0077347B"/>
    <w:rsid w:val="00777735"/>
    <w:rsid w:val="00781B4B"/>
    <w:rsid w:val="00792721"/>
    <w:rsid w:val="00793449"/>
    <w:rsid w:val="007A78AA"/>
    <w:rsid w:val="007B0CE0"/>
    <w:rsid w:val="007B70D9"/>
    <w:rsid w:val="007C40F9"/>
    <w:rsid w:val="007C5ABC"/>
    <w:rsid w:val="007C6C33"/>
    <w:rsid w:val="007D0DD0"/>
    <w:rsid w:val="007D2FD2"/>
    <w:rsid w:val="007E0670"/>
    <w:rsid w:val="007E4FC5"/>
    <w:rsid w:val="00801B84"/>
    <w:rsid w:val="008033D8"/>
    <w:rsid w:val="008067E7"/>
    <w:rsid w:val="008069AB"/>
    <w:rsid w:val="00820F3E"/>
    <w:rsid w:val="00827BE7"/>
    <w:rsid w:val="008359C9"/>
    <w:rsid w:val="00844940"/>
    <w:rsid w:val="0085324E"/>
    <w:rsid w:val="008625BF"/>
    <w:rsid w:val="00862D0E"/>
    <w:rsid w:val="00870A88"/>
    <w:rsid w:val="00887844"/>
    <w:rsid w:val="00891060"/>
    <w:rsid w:val="008A11E6"/>
    <w:rsid w:val="008A17B3"/>
    <w:rsid w:val="008A7770"/>
    <w:rsid w:val="008B5DE0"/>
    <w:rsid w:val="008D4072"/>
    <w:rsid w:val="008D576A"/>
    <w:rsid w:val="00910856"/>
    <w:rsid w:val="0092506E"/>
    <w:rsid w:val="00930E51"/>
    <w:rsid w:val="00936C44"/>
    <w:rsid w:val="00964762"/>
    <w:rsid w:val="009826BE"/>
    <w:rsid w:val="0098351B"/>
    <w:rsid w:val="00986EA3"/>
    <w:rsid w:val="00990965"/>
    <w:rsid w:val="00995F8B"/>
    <w:rsid w:val="00997CBB"/>
    <w:rsid w:val="009A3B59"/>
    <w:rsid w:val="009B2A70"/>
    <w:rsid w:val="009B4DDF"/>
    <w:rsid w:val="009D6980"/>
    <w:rsid w:val="009E796B"/>
    <w:rsid w:val="009F2C3C"/>
    <w:rsid w:val="009F2DB6"/>
    <w:rsid w:val="009F7567"/>
    <w:rsid w:val="00A00AD6"/>
    <w:rsid w:val="00A13027"/>
    <w:rsid w:val="00A2136A"/>
    <w:rsid w:val="00A30421"/>
    <w:rsid w:val="00A42042"/>
    <w:rsid w:val="00A52139"/>
    <w:rsid w:val="00A560CA"/>
    <w:rsid w:val="00A70F2B"/>
    <w:rsid w:val="00A71F00"/>
    <w:rsid w:val="00A74AF1"/>
    <w:rsid w:val="00A77634"/>
    <w:rsid w:val="00A822A0"/>
    <w:rsid w:val="00A87953"/>
    <w:rsid w:val="00AA1101"/>
    <w:rsid w:val="00AA1DD2"/>
    <w:rsid w:val="00AC11A1"/>
    <w:rsid w:val="00AC124D"/>
    <w:rsid w:val="00AC1DDE"/>
    <w:rsid w:val="00AD7A0A"/>
    <w:rsid w:val="00AE29A9"/>
    <w:rsid w:val="00B1059A"/>
    <w:rsid w:val="00B113CD"/>
    <w:rsid w:val="00B17E4F"/>
    <w:rsid w:val="00B32C25"/>
    <w:rsid w:val="00B60EB9"/>
    <w:rsid w:val="00B7243B"/>
    <w:rsid w:val="00B92D3E"/>
    <w:rsid w:val="00B94A3B"/>
    <w:rsid w:val="00B9510F"/>
    <w:rsid w:val="00BC232A"/>
    <w:rsid w:val="00BE1DD0"/>
    <w:rsid w:val="00BE51EA"/>
    <w:rsid w:val="00C0302E"/>
    <w:rsid w:val="00C111FE"/>
    <w:rsid w:val="00C12EA1"/>
    <w:rsid w:val="00C16607"/>
    <w:rsid w:val="00C34054"/>
    <w:rsid w:val="00C36EF3"/>
    <w:rsid w:val="00C52A26"/>
    <w:rsid w:val="00C61810"/>
    <w:rsid w:val="00C75396"/>
    <w:rsid w:val="00C76926"/>
    <w:rsid w:val="00C85873"/>
    <w:rsid w:val="00C87B35"/>
    <w:rsid w:val="00CC17DF"/>
    <w:rsid w:val="00CD266A"/>
    <w:rsid w:val="00CE2E89"/>
    <w:rsid w:val="00CE7A2C"/>
    <w:rsid w:val="00CF0BA3"/>
    <w:rsid w:val="00CF1E2A"/>
    <w:rsid w:val="00CF256F"/>
    <w:rsid w:val="00D13D13"/>
    <w:rsid w:val="00D16158"/>
    <w:rsid w:val="00D21AFB"/>
    <w:rsid w:val="00D32AC1"/>
    <w:rsid w:val="00D36DE4"/>
    <w:rsid w:val="00D41587"/>
    <w:rsid w:val="00D447ED"/>
    <w:rsid w:val="00D45683"/>
    <w:rsid w:val="00D50312"/>
    <w:rsid w:val="00D6180F"/>
    <w:rsid w:val="00D645CF"/>
    <w:rsid w:val="00D67D09"/>
    <w:rsid w:val="00D710EE"/>
    <w:rsid w:val="00D72F23"/>
    <w:rsid w:val="00D77A44"/>
    <w:rsid w:val="00D81FA6"/>
    <w:rsid w:val="00D913A8"/>
    <w:rsid w:val="00D93555"/>
    <w:rsid w:val="00D94502"/>
    <w:rsid w:val="00D96611"/>
    <w:rsid w:val="00DA14A5"/>
    <w:rsid w:val="00DB1AF8"/>
    <w:rsid w:val="00DC3B28"/>
    <w:rsid w:val="00DC5C75"/>
    <w:rsid w:val="00DC5FD2"/>
    <w:rsid w:val="00DD4793"/>
    <w:rsid w:val="00DE2D87"/>
    <w:rsid w:val="00DF609F"/>
    <w:rsid w:val="00DF6FE2"/>
    <w:rsid w:val="00E013FB"/>
    <w:rsid w:val="00E05CA4"/>
    <w:rsid w:val="00E164C5"/>
    <w:rsid w:val="00E322B8"/>
    <w:rsid w:val="00E33612"/>
    <w:rsid w:val="00E34612"/>
    <w:rsid w:val="00E4245D"/>
    <w:rsid w:val="00E44B14"/>
    <w:rsid w:val="00E4533E"/>
    <w:rsid w:val="00E706D8"/>
    <w:rsid w:val="00E71F6B"/>
    <w:rsid w:val="00E73EE5"/>
    <w:rsid w:val="00E80461"/>
    <w:rsid w:val="00E841F3"/>
    <w:rsid w:val="00EB4A71"/>
    <w:rsid w:val="00EC2755"/>
    <w:rsid w:val="00EC3FF8"/>
    <w:rsid w:val="00ED4AFD"/>
    <w:rsid w:val="00ED7DD1"/>
    <w:rsid w:val="00EE6434"/>
    <w:rsid w:val="00F0221A"/>
    <w:rsid w:val="00F12ECB"/>
    <w:rsid w:val="00F279DD"/>
    <w:rsid w:val="00F40ABB"/>
    <w:rsid w:val="00F40F30"/>
    <w:rsid w:val="00F42E87"/>
    <w:rsid w:val="00F47FE0"/>
    <w:rsid w:val="00F60D5A"/>
    <w:rsid w:val="00F77E61"/>
    <w:rsid w:val="00F93B18"/>
    <w:rsid w:val="00F971A7"/>
    <w:rsid w:val="00FA16AA"/>
    <w:rsid w:val="00FB0665"/>
    <w:rsid w:val="00FB65B9"/>
    <w:rsid w:val="00FB6D8F"/>
    <w:rsid w:val="00FB7D62"/>
    <w:rsid w:val="00FE165F"/>
    <w:rsid w:val="00FE4AE3"/>
    <w:rsid w:val="00FE4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1BAA4"/>
  <w15:docId w15:val="{D0D2289B-04D9-4B88-ACA1-C3DD80480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9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980"/>
  </w:style>
  <w:style w:type="paragraph" w:styleId="Footer">
    <w:name w:val="footer"/>
    <w:basedOn w:val="Normal"/>
    <w:link w:val="FooterChar"/>
    <w:unhideWhenUsed/>
    <w:rsid w:val="009D6980"/>
    <w:pPr>
      <w:tabs>
        <w:tab w:val="center" w:pos="4680"/>
        <w:tab w:val="right" w:pos="9360"/>
      </w:tabs>
      <w:spacing w:after="0" w:line="240" w:lineRule="auto"/>
    </w:pPr>
  </w:style>
  <w:style w:type="character" w:customStyle="1" w:styleId="FooterChar">
    <w:name w:val="Footer Char"/>
    <w:basedOn w:val="DefaultParagraphFont"/>
    <w:link w:val="Footer"/>
    <w:rsid w:val="009D6980"/>
  </w:style>
  <w:style w:type="paragraph" w:styleId="BalloonText">
    <w:name w:val="Balloon Text"/>
    <w:basedOn w:val="Normal"/>
    <w:link w:val="BalloonTextChar"/>
    <w:uiPriority w:val="99"/>
    <w:semiHidden/>
    <w:unhideWhenUsed/>
    <w:rsid w:val="00514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EAD"/>
    <w:rPr>
      <w:rFonts w:ascii="Tahoma" w:hAnsi="Tahoma" w:cs="Tahoma"/>
      <w:sz w:val="16"/>
      <w:szCs w:val="16"/>
    </w:rPr>
  </w:style>
  <w:style w:type="paragraph" w:customStyle="1" w:styleId="Default">
    <w:name w:val="Default"/>
    <w:rsid w:val="00ED4AFD"/>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ED4A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7324">
      <w:bodyDiv w:val="1"/>
      <w:marLeft w:val="0"/>
      <w:marRight w:val="0"/>
      <w:marTop w:val="0"/>
      <w:marBottom w:val="0"/>
      <w:divBdr>
        <w:top w:val="none" w:sz="0" w:space="0" w:color="auto"/>
        <w:left w:val="none" w:sz="0" w:space="0" w:color="auto"/>
        <w:bottom w:val="none" w:sz="0" w:space="0" w:color="auto"/>
        <w:right w:val="none" w:sz="0" w:space="0" w:color="auto"/>
      </w:divBdr>
    </w:div>
    <w:div w:id="916013309">
      <w:bodyDiv w:val="1"/>
      <w:marLeft w:val="0"/>
      <w:marRight w:val="0"/>
      <w:marTop w:val="0"/>
      <w:marBottom w:val="0"/>
      <w:divBdr>
        <w:top w:val="none" w:sz="0" w:space="0" w:color="auto"/>
        <w:left w:val="none" w:sz="0" w:space="0" w:color="auto"/>
        <w:bottom w:val="none" w:sz="0" w:space="0" w:color="auto"/>
        <w:right w:val="none" w:sz="0" w:space="0" w:color="auto"/>
      </w:divBdr>
    </w:div>
    <w:div w:id="1331762525">
      <w:bodyDiv w:val="1"/>
      <w:marLeft w:val="0"/>
      <w:marRight w:val="0"/>
      <w:marTop w:val="0"/>
      <w:marBottom w:val="0"/>
      <w:divBdr>
        <w:top w:val="none" w:sz="0" w:space="0" w:color="auto"/>
        <w:left w:val="none" w:sz="0" w:space="0" w:color="auto"/>
        <w:bottom w:val="none" w:sz="0" w:space="0" w:color="auto"/>
        <w:right w:val="none" w:sz="0" w:space="0" w:color="auto"/>
      </w:divBdr>
    </w:div>
    <w:div w:id="1336806146">
      <w:bodyDiv w:val="1"/>
      <w:marLeft w:val="0"/>
      <w:marRight w:val="0"/>
      <w:marTop w:val="0"/>
      <w:marBottom w:val="0"/>
      <w:divBdr>
        <w:top w:val="none" w:sz="0" w:space="0" w:color="auto"/>
        <w:left w:val="none" w:sz="0" w:space="0" w:color="auto"/>
        <w:bottom w:val="none" w:sz="0" w:space="0" w:color="auto"/>
        <w:right w:val="none" w:sz="0" w:space="0" w:color="auto"/>
      </w:divBdr>
    </w:div>
    <w:div w:id="1629822934">
      <w:bodyDiv w:val="1"/>
      <w:marLeft w:val="0"/>
      <w:marRight w:val="0"/>
      <w:marTop w:val="0"/>
      <w:marBottom w:val="0"/>
      <w:divBdr>
        <w:top w:val="none" w:sz="0" w:space="0" w:color="auto"/>
        <w:left w:val="none" w:sz="0" w:space="0" w:color="auto"/>
        <w:bottom w:val="none" w:sz="0" w:space="0" w:color="auto"/>
        <w:right w:val="none" w:sz="0" w:space="0" w:color="auto"/>
      </w:divBdr>
    </w:div>
    <w:div w:id="214507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epa.sharepoint.com/sites/R1_Community/QARoundtable/MA%20Deliverables/Forms/AllItems.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2023-05-19T13:31:37+00:00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9744e9b9-59e9-46c4-aff5-46e6ee715a6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29" ma:contentTypeDescription="Create a new document." ma:contentTypeScope="" ma:versionID="231a2749e3af4733fc886aa0bbd22351">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acddf2d530ce9ecdd118b42c1f5c7e48"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8A5EC009-2694-4BEB-980C-0ACE7252861B}">
  <ds:schemaRefs>
    <ds:schemaRef ds:uri="http://schemas.microsoft.com/office/2006/metadata/properties"/>
    <ds:schemaRef ds:uri="http://schemas.microsoft.com/office/infopath/2007/PartnerControls"/>
    <ds:schemaRef ds:uri="09c05010-c7e7-4cfc-aa2a-67e254bc5923"/>
  </ds:schemaRefs>
</ds:datastoreItem>
</file>

<file path=customXml/itemProps2.xml><?xml version="1.0" encoding="utf-8"?>
<ds:datastoreItem xmlns:ds="http://schemas.openxmlformats.org/officeDocument/2006/customXml" ds:itemID="{F06D1E07-FAF4-4F0B-9902-9F3012F2EFD1}"/>
</file>

<file path=customXml/itemProps3.xml><?xml version="1.0" encoding="utf-8"?>
<ds:datastoreItem xmlns:ds="http://schemas.openxmlformats.org/officeDocument/2006/customXml" ds:itemID="{C8874D5A-4333-425A-9A7A-F1D5E3C65693}">
  <ds:schemaRefs>
    <ds:schemaRef ds:uri="http://schemas.openxmlformats.org/officeDocument/2006/bibliography"/>
  </ds:schemaRefs>
</ds:datastoreItem>
</file>

<file path=customXml/itemProps4.xml><?xml version="1.0" encoding="utf-8"?>
<ds:datastoreItem xmlns:ds="http://schemas.openxmlformats.org/officeDocument/2006/customXml" ds:itemID="{82A4C3B4-6CF0-48E2-BD59-9C46CA5CFCDA}">
  <ds:schemaRefs>
    <ds:schemaRef ds:uri="http://schemas.microsoft.com/sharepoint/v3/contenttype/forms"/>
  </ds:schemaRefs>
</ds:datastoreItem>
</file>

<file path=customXml/itemProps5.xml><?xml version="1.0" encoding="utf-8"?>
<ds:datastoreItem xmlns:ds="http://schemas.openxmlformats.org/officeDocument/2006/customXml" ds:itemID="{474FD69F-3C82-4626-B00B-49567895B102}"/>
</file>

<file path=docProps/app.xml><?xml version="1.0" encoding="utf-8"?>
<Properties xmlns="http://schemas.openxmlformats.org/officeDocument/2006/extended-properties" xmlns:vt="http://schemas.openxmlformats.org/officeDocument/2006/docPropsVTypes">
  <Template>Normal</Template>
  <TotalTime>141</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Environmental Protection</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Flint, Suzanne (DEP)</dc:creator>
  <cp:lastModifiedBy>Flint, Suzanne (DEP)</cp:lastModifiedBy>
  <cp:revision>52</cp:revision>
  <cp:lastPrinted>2014-06-04T17:47:00Z</cp:lastPrinted>
  <dcterms:created xsi:type="dcterms:W3CDTF">2023-05-16T23:16:00Z</dcterms:created>
  <dcterms:modified xsi:type="dcterms:W3CDTF">2023-05-19T13:27:00Z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0x0101003BB64ABE98F5B045B86FA788FD2AB817</vt:lpwstr>
  </property>
</Properties>
</file>